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3F54" w14:textId="77777777" w:rsidR="00643065" w:rsidRDefault="00643065" w:rsidP="005000C5">
      <w:pPr>
        <w:rPr>
          <w:lang w:val="fr-FR"/>
        </w:rPr>
      </w:pPr>
    </w:p>
    <w:p w14:paraId="15CE418E" w14:textId="55953176" w:rsidR="00643065" w:rsidRDefault="00643065" w:rsidP="00DC7B99">
      <w:pPr>
        <w:jc w:val="center"/>
        <w:rPr>
          <w:lang w:val="fr-FR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662"/>
      </w:tblGrid>
      <w:tr w:rsidR="00896CD7" w:rsidRPr="008B5582" w14:paraId="1882508A" w14:textId="77777777" w:rsidTr="00896CD7">
        <w:tc>
          <w:tcPr>
            <w:tcW w:w="8996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7329001" w14:textId="0E2FC508" w:rsidR="00896CD7" w:rsidRPr="009729A7" w:rsidRDefault="00896CD7" w:rsidP="00896CD7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36"/>
                <w:szCs w:val="36"/>
                <w:lang w:val="fr-FR"/>
              </w:rPr>
            </w:pPr>
            <w:r w:rsidRPr="009729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36"/>
                <w:szCs w:val="36"/>
                <w:lang w:val="fr-FR"/>
              </w:rPr>
              <w:t xml:space="preserve">PROJET FLE+ </w:t>
            </w:r>
          </w:p>
          <w:p w14:paraId="36B01413" w14:textId="2CF437EE" w:rsidR="009729A7" w:rsidRPr="009729A7" w:rsidRDefault="009729A7" w:rsidP="00896CD7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9729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ERASMUS+ </w:t>
            </w: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(AC104) : </w:t>
            </w:r>
            <w:r w:rsidRPr="009729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Mobilité du personnel de l’éducation des adultes</w:t>
            </w: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 w:rsidRPr="009729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(2020 – 2023)</w:t>
            </w:r>
          </w:p>
          <w:p w14:paraId="221E6C6C" w14:textId="485BE79D" w:rsidR="00896CD7" w:rsidRPr="00896CD7" w:rsidRDefault="000F1F0E" w:rsidP="00896CD7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lang w:val="fr-FR"/>
              </w:rPr>
              <w:t>Quatrième</w:t>
            </w:r>
            <w:r w:rsidR="00896CD7" w:rsidRPr="00896CD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lang w:val="fr-FR"/>
              </w:rPr>
              <w:t xml:space="preserve"> appel à candidatures</w:t>
            </w:r>
          </w:p>
          <w:p w14:paraId="3EF24EAE" w14:textId="77777777" w:rsidR="00896CD7" w:rsidRDefault="00896CD7" w:rsidP="00896CD7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</w:p>
          <w:p w14:paraId="57730C85" w14:textId="534C2FB8" w:rsidR="00710269" w:rsidRDefault="000F1F0E" w:rsidP="00896CD7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Formation structurée « </w:t>
            </w:r>
            <w:r w:rsidR="004C4D7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ocus numérique » au CAVILAM</w:t>
            </w:r>
          </w:p>
          <w:p w14:paraId="2E128B9A" w14:textId="78FF59B3" w:rsidR="00896CD7" w:rsidRPr="0049163A" w:rsidRDefault="004C4D73" w:rsidP="004C4D73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Juillet – Août </w:t>
            </w:r>
            <w:r w:rsidR="00B96F7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2022</w:t>
            </w:r>
            <w:r w:rsidR="00896CD7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–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Vichy</w:t>
            </w:r>
            <w:r w:rsidR="00B96F7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(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France</w:t>
            </w:r>
            <w:r w:rsidR="00B96F7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)</w:t>
            </w:r>
          </w:p>
        </w:tc>
      </w:tr>
      <w:tr w:rsidR="005000C5" w:rsidRPr="008B5582" w14:paraId="7D4F1AB1" w14:textId="77777777" w:rsidTr="00723BA8">
        <w:tc>
          <w:tcPr>
            <w:tcW w:w="23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18DC7554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1167E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Introduction :</w:t>
            </w:r>
          </w:p>
        </w:tc>
        <w:tc>
          <w:tcPr>
            <w:tcW w:w="666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4951E5AF" w14:textId="0409AA28" w:rsidR="005000C5" w:rsidRPr="0049163A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Dans le cadre du projet Erasmus+ FLE+ « Français Langue Étrangère Plus » (20MA0010), le consortium du projet lance le présent appel à candidatures ouvert à </w:t>
            </w:r>
            <w:r w:rsidR="009A642B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tout·e</w:t>
            </w: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formateur·trice des c</w:t>
            </w:r>
            <w:r w:rsidR="003E583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entres de formation participant</w:t>
            </w: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au projet FLE+.</w:t>
            </w:r>
          </w:p>
          <w:p w14:paraId="26A3F203" w14:textId="44CEAD39" w:rsidR="005000C5" w:rsidRPr="0049163A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Les intéressé·e·s doivent postuler en suivant les indications contenues dans le présent appel. </w:t>
            </w:r>
          </w:p>
          <w:p w14:paraId="7A881668" w14:textId="25887E5D" w:rsidR="005000C5" w:rsidRPr="0049163A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Pour être éligibles, les personnes doivent </w:t>
            </w:r>
            <w:r w:rsidR="00AE049D"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être actives</w:t>
            </w: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(salarié·e·s </w:t>
            </w:r>
            <w:r w:rsidR="003F57A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ou</w:t>
            </w:r>
            <w:r w:rsidR="003F57AF"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bénévoles) dans un des centres de formation membres du consortium, à savoir :</w:t>
            </w:r>
          </w:p>
          <w:p w14:paraId="51D09242" w14:textId="0EE7BFB1" w:rsidR="005000C5" w:rsidRPr="0049163A" w:rsidRDefault="005000C5" w:rsidP="0049163A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Proforal ASBL</w:t>
            </w:r>
          </w:p>
          <w:p w14:paraId="4987DF31" w14:textId="25929EC0" w:rsidR="005000C5" w:rsidRPr="0049163A" w:rsidRDefault="005000C5" w:rsidP="0049163A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Bruxelles Formation Langue</w:t>
            </w:r>
          </w:p>
          <w:p w14:paraId="7C8A463F" w14:textId="0CA7059A" w:rsidR="005000C5" w:rsidRPr="0049163A" w:rsidRDefault="005000C5" w:rsidP="0049163A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CIPROC ASBL </w:t>
            </w:r>
          </w:p>
          <w:p w14:paraId="5FB5CADB" w14:textId="7F24440A" w:rsidR="005000C5" w:rsidRPr="0049163A" w:rsidRDefault="005000C5" w:rsidP="0049163A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La Voix des femmes ASBL </w:t>
            </w:r>
          </w:p>
          <w:p w14:paraId="5C342A05" w14:textId="68DC4F32" w:rsidR="005000C5" w:rsidRPr="0049163A" w:rsidRDefault="005000C5" w:rsidP="0049163A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 Maître Mot ASBL </w:t>
            </w:r>
          </w:p>
          <w:p w14:paraId="583CE253" w14:textId="53507AAE" w:rsidR="005000C5" w:rsidRPr="0049163A" w:rsidRDefault="005000C5" w:rsidP="0049163A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Molenbeek Formation ASBL</w:t>
            </w:r>
          </w:p>
          <w:p w14:paraId="0C9ADC0D" w14:textId="0F760B37" w:rsidR="005000C5" w:rsidRPr="0049163A" w:rsidRDefault="005000C5" w:rsidP="0049163A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SIMA ASBL</w:t>
            </w:r>
          </w:p>
          <w:p w14:paraId="2BF8A7EE" w14:textId="03EC2AD0" w:rsidR="005000C5" w:rsidRPr="0049163A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Les critères de sélection de l’appel à candidature sont publiés </w:t>
            </w:r>
            <w:r w:rsidR="00AE049D"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conjointement</w:t>
            </w: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à cet appel à </w:t>
            </w:r>
            <w:r w:rsidRPr="00BC636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candidature</w:t>
            </w:r>
            <w:r w:rsidR="00401010" w:rsidRPr="00BC636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(annexe</w:t>
            </w:r>
            <w:r w:rsidR="00BC6368" w:rsidRPr="00BC636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1</w:t>
            </w:r>
            <w:r w:rsidR="00401010" w:rsidRPr="00BC636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)</w:t>
            </w:r>
            <w:r w:rsidRPr="00BC636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.</w:t>
            </w:r>
          </w:p>
        </w:tc>
      </w:tr>
      <w:tr w:rsidR="005000C5" w:rsidRPr="004C4D73" w14:paraId="332D0837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right w:val="single" w:sz="4" w:space="0" w:color="70AD47" w:themeColor="accent6"/>
            </w:tcBorders>
          </w:tcPr>
          <w:p w14:paraId="5EBFF235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1167E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Organisme d’accueil : 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right w:val="single" w:sz="4" w:space="0" w:color="70AD47" w:themeColor="accent6"/>
            </w:tcBorders>
          </w:tcPr>
          <w:p w14:paraId="6EBF43F0" w14:textId="77777777" w:rsidR="004C4D73" w:rsidRDefault="004C4D73" w:rsidP="004C4D73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4C4D7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</w:rPr>
              <w:t>CAVILAM - Alliance Française</w:t>
            </w:r>
          </w:p>
          <w:p w14:paraId="258D641F" w14:textId="6ED4A4B2" w:rsidR="004C4D73" w:rsidRPr="004C4D73" w:rsidRDefault="004C4D73" w:rsidP="004C4D73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Cs/>
                <w:i/>
                <w:color w:val="385623" w:themeColor="accent6" w:themeShade="80"/>
                <w:sz w:val="22"/>
                <w:szCs w:val="22"/>
              </w:rPr>
            </w:pPr>
            <w:r w:rsidRPr="004C4D73">
              <w:rPr>
                <w:rFonts w:ascii="Times New Roman" w:hAnsi="Times New Roman" w:cs="Times New Roman"/>
                <w:bCs/>
                <w:i/>
                <w:color w:val="385623" w:themeColor="accent6" w:themeShade="80"/>
                <w:sz w:val="22"/>
                <w:szCs w:val="22"/>
              </w:rPr>
              <w:t>1, avenue des Célestins</w:t>
            </w:r>
          </w:p>
          <w:p w14:paraId="04BBC97A" w14:textId="3C46B2A8" w:rsidR="005000C5" w:rsidRPr="004C4D73" w:rsidRDefault="004C4D73" w:rsidP="004C4D73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Cs/>
                <w:i/>
                <w:color w:val="385623" w:themeColor="accent6" w:themeShade="80"/>
                <w:sz w:val="22"/>
                <w:szCs w:val="22"/>
              </w:rPr>
            </w:pPr>
            <w:r w:rsidRPr="004C4D73">
              <w:rPr>
                <w:rFonts w:ascii="Times New Roman" w:hAnsi="Times New Roman" w:cs="Times New Roman"/>
                <w:bCs/>
                <w:i/>
                <w:color w:val="385623" w:themeColor="accent6" w:themeShade="80"/>
                <w:sz w:val="22"/>
                <w:szCs w:val="22"/>
              </w:rPr>
              <w:t>03206 Vichy, France</w:t>
            </w:r>
          </w:p>
        </w:tc>
      </w:tr>
      <w:tr w:rsidR="005000C5" w:rsidRPr="008B5582" w14:paraId="3D297538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331752DA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1167E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Intitulé de la formation :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20D2418D" w14:textId="72DA2087" w:rsidR="005000C5" w:rsidRPr="0049163A" w:rsidRDefault="004C4D73" w:rsidP="0011778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</w:pPr>
            <w:r w:rsidRPr="004C4D73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Formation structurée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 : stages à la carte « f</w:t>
            </w:r>
            <w:r w:rsidRPr="004C4D73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ocus numérique » au CAVILAM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 – Alliance Française</w:t>
            </w:r>
          </w:p>
        </w:tc>
      </w:tr>
      <w:tr w:rsidR="0049163A" w:rsidRPr="008B5582" w14:paraId="02EB0A3B" w14:textId="77777777" w:rsidTr="00C76CB3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111B8936" w14:textId="77777777" w:rsidR="0049163A" w:rsidRPr="00F001A3" w:rsidRDefault="0049163A" w:rsidP="00C76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F001A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Période de la formation :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2F8AF7FC" w14:textId="637FA6E8" w:rsidR="0049163A" w:rsidRDefault="004C4D73" w:rsidP="00710269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Il est possible de choisir entre </w:t>
            </w:r>
            <w:r w:rsidR="003A3AB6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les</w:t>
            </w: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 semaines</w:t>
            </w:r>
            <w:r w:rsidR="003A3AB6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 suivantes</w:t>
            </w: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 :</w:t>
            </w:r>
          </w:p>
          <w:p w14:paraId="463FFD97" w14:textId="77777777" w:rsidR="00021A99" w:rsidRPr="003A3AB6" w:rsidRDefault="00021A99" w:rsidP="00021A99">
            <w:pPr>
              <w:pStyle w:val="Paragraphedeliste"/>
              <w:numPr>
                <w:ilvl w:val="0"/>
                <w:numId w:val="20"/>
              </w:numPr>
              <w:suppressAutoHyphens/>
              <w:spacing w:after="100"/>
              <w:jc w:val="both"/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04 au 08 juillet 2022 (module obligatoire : « Les outils numériques pratiques pour faciliter la vie du professeur (après-midi) »</w:t>
            </w:r>
          </w:p>
          <w:p w14:paraId="1FF0680B" w14:textId="77777777" w:rsidR="00021A99" w:rsidRPr="003A3AB6" w:rsidRDefault="00021A99" w:rsidP="00021A99">
            <w:pPr>
              <w:pStyle w:val="Paragraphedeliste"/>
              <w:numPr>
                <w:ilvl w:val="0"/>
                <w:numId w:val="20"/>
              </w:numPr>
              <w:suppressAutoHyphens/>
              <w:spacing w:after="100"/>
              <w:jc w:val="both"/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11 au 15 juillet 2022 (module obligatoire : « Diversifier ses pratiques pédagogiques avec le numérique (matin) »</w:t>
            </w:r>
          </w:p>
          <w:p w14:paraId="64D42DD5" w14:textId="77777777" w:rsidR="00021A99" w:rsidRPr="003A3AB6" w:rsidRDefault="00021A99" w:rsidP="00021A99">
            <w:pPr>
              <w:pStyle w:val="Paragraphedeliste"/>
              <w:numPr>
                <w:ilvl w:val="0"/>
                <w:numId w:val="20"/>
              </w:numPr>
              <w:suppressAutoHyphens/>
              <w:spacing w:after="100"/>
              <w:jc w:val="both"/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25 au 29 juillet 2022 (les deux modules sont possibles, mais il suffit d’en choisir un)</w:t>
            </w:r>
          </w:p>
          <w:p w14:paraId="7BA59AF6" w14:textId="77777777" w:rsidR="003A3AB6" w:rsidRPr="003A3AB6" w:rsidRDefault="00021A99" w:rsidP="003A3AB6">
            <w:pPr>
              <w:pStyle w:val="Paragraphedeliste"/>
              <w:numPr>
                <w:ilvl w:val="0"/>
                <w:numId w:val="20"/>
              </w:numPr>
              <w:suppressAutoHyphens/>
              <w:spacing w:after="100"/>
              <w:jc w:val="both"/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08 au 12 août 2022 (module obligatoire : « Diversifier ses pratiques pédagogiques avec le numérique (matin) »</w:t>
            </w:r>
          </w:p>
          <w:p w14:paraId="686B9975" w14:textId="5787466D" w:rsidR="004C4D73" w:rsidRPr="003A3AB6" w:rsidRDefault="00021A99" w:rsidP="003A3AB6">
            <w:pPr>
              <w:pStyle w:val="Paragraphedeliste"/>
              <w:numPr>
                <w:ilvl w:val="0"/>
                <w:numId w:val="20"/>
              </w:numPr>
              <w:suppressAutoHyphens/>
              <w:spacing w:after="100"/>
              <w:jc w:val="both"/>
              <w:rPr>
                <w:rFonts w:eastAsia="Calibri" w:cstheme="minorHAnsi"/>
                <w:color w:val="000000"/>
                <w:sz w:val="22"/>
                <w:szCs w:val="22"/>
                <w:lang w:val="fr-FR"/>
              </w:rPr>
            </w:pP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15 au 19 août 2022 (module obligatoire : « Les outils numériques pratiques pour faciliter la vie du professeur (après-midi) »</w:t>
            </w:r>
          </w:p>
        </w:tc>
      </w:tr>
      <w:tr w:rsidR="005000C5" w:rsidRPr="008B5582" w14:paraId="200ED9FD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7A82CB9E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1167E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lastRenderedPageBreak/>
              <w:t>Description :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28DA7A83" w14:textId="2A03BD7B" w:rsidR="00117784" w:rsidRDefault="00117784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 programme de la </w:t>
            </w:r>
            <w:r w:rsidR="004C4D73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formation structurée prévoit de s’inscrire et suivre une semaine de « stages à la carte » proposée par le CAVILAM – Alliance Française pendant l’été 2022.</w:t>
            </w:r>
          </w:p>
          <w:p w14:paraId="6C88E2E9" w14:textId="21B4DA61" w:rsidR="004C4D73" w:rsidRDefault="00DC1A24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Les stages à la carte du CAVILAM prévoient l’inscription à un module à suivre pendant le matin et un module à suivre pendant l’après-midi : il est donc obligatoire de suivre deux modules pendant la semaine de formation / stage.</w:t>
            </w:r>
          </w:p>
          <w:p w14:paraId="415E820D" w14:textId="6631894C" w:rsidR="003A3AB6" w:rsidRDefault="00DC1A24" w:rsidP="00DC1A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Pour cet appel à projet, comme prévu par le projet FLE+, le focus est sur les outils numériques en classe de FLE : </w:t>
            </w:r>
            <w:r w:rsid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les participant·e·s peuvent donc </w:t>
            </w:r>
            <w:r w:rsidR="003E583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choisir </w:t>
            </w:r>
            <w:r w:rsid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entre un des deux modules axés sur les outils numériques et proposés par le CAVILAM. Il s’agit des modules suivants :</w:t>
            </w:r>
          </w:p>
          <w:p w14:paraId="0D64386F" w14:textId="52AB5FF4" w:rsidR="00DC1A24" w:rsidRPr="003A3AB6" w:rsidRDefault="003A3AB6" w:rsidP="003A3AB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Le module</w:t>
            </w:r>
            <w:r w:rsidR="00DC1A24" w:rsidRP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« </w:t>
            </w:r>
            <w:r w:rsidR="004C4D73" w:rsidRPr="00B57749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>Les outils numériques pratiques pour faciliter la vie du professeur</w:t>
            </w:r>
            <w:r w:rsidRP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 », qui </w:t>
            </w:r>
            <w:r w:rsidR="00DC1A24" w:rsidRP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est proposé l’après-midi pendant les semaines suivantes : </w:t>
            </w:r>
          </w:p>
          <w:p w14:paraId="58D5A495" w14:textId="017F697A" w:rsidR="00DC1A24" w:rsidRPr="00DC1A24" w:rsidRDefault="00DC1A24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4 au 8 juillet 2022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, </w:t>
            </w:r>
          </w:p>
          <w:p w14:paraId="1717D30E" w14:textId="385A2BB8" w:rsidR="00DC1A24" w:rsidRPr="00DC1A24" w:rsidRDefault="00DC1A24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25 au 29 juillet 2022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, </w:t>
            </w:r>
          </w:p>
          <w:p w14:paraId="08087B48" w14:textId="0F137D10" w:rsidR="00DC1A24" w:rsidRDefault="00DC1A24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15 au 19 août 2022.</w:t>
            </w:r>
          </w:p>
          <w:p w14:paraId="79B1898E" w14:textId="77777777" w:rsidR="003A3AB6" w:rsidRDefault="003A3AB6" w:rsidP="003A3AB6">
            <w:pPr>
              <w:pStyle w:val="Paragraphedeliste"/>
              <w:autoSpaceDE w:val="0"/>
              <w:autoSpaceDN w:val="0"/>
              <w:adjustRightInd w:val="0"/>
              <w:spacing w:after="100"/>
              <w:ind w:left="36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</w:p>
          <w:p w14:paraId="2042177C" w14:textId="77777777" w:rsidR="003A3AB6" w:rsidRPr="003A3AB6" w:rsidRDefault="003A3AB6" w:rsidP="003A3AB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Le module</w:t>
            </w: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« </w:t>
            </w:r>
            <w:r w:rsidRPr="00B57749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>Diversifier ses pratiques pédagogiques avec le numérique</w:t>
            </w: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 », </w:t>
            </w:r>
            <w:r w:rsidRP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qui est proposé le matin pendant les semaines suivantes : </w:t>
            </w:r>
          </w:p>
          <w:p w14:paraId="5958B7B1" w14:textId="3AB944C4" w:rsidR="003A3AB6" w:rsidRPr="003A3AB6" w:rsidRDefault="003A3AB6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11 au 15 juillet 2022</w:t>
            </w:r>
            <w:r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,</w:t>
            </w:r>
          </w:p>
          <w:p w14:paraId="708FE3F9" w14:textId="04E8927E" w:rsidR="003A3AB6" w:rsidRPr="003A3AB6" w:rsidRDefault="003A3AB6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25 au 29 juillet 2022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, </w:t>
            </w:r>
          </w:p>
          <w:p w14:paraId="4C4E868A" w14:textId="668FE1BE" w:rsidR="003A3AB6" w:rsidRPr="003A3AB6" w:rsidRDefault="003A3AB6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3A3AB6">
              <w:rPr>
                <w:rFonts w:ascii="Times New Roman" w:eastAsia="Calibri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Du 08 au 12 août 2022</w:t>
            </w:r>
          </w:p>
          <w:p w14:paraId="2F8FDC73" w14:textId="3FB0CD8B" w:rsidR="00DC1A24" w:rsidRDefault="00DC1A24" w:rsidP="00DC1A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Les candidat·e·s devraient donc s’inscrire à une de ces semaines et devraient </w:t>
            </w:r>
            <w:r w:rsidR="009A642B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aussi</w:t>
            </w:r>
            <w:r w:rsidR="009A642B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indiquer le deuxième module qu’ils·elles choisissent dans la même semaine parmi les modules proposés par le CAVILAM et disponibles en ligne (</w:t>
            </w:r>
            <w:hyperlink r:id="rId8" w:history="1">
              <w:r w:rsidRPr="00DC1A24">
                <w:rPr>
                  <w:rStyle w:val="Lienhypertexte"/>
                  <w:rFonts w:ascii="Times New Roman" w:hAnsi="Times New Roman" w:cs="Times New Roman"/>
                  <w:sz w:val="22"/>
                  <w:szCs w:val="22"/>
                  <w:lang w:val="fr-FR"/>
                </w:rPr>
                <w:t>ici</w:t>
              </w:r>
            </w:hyperlink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). </w:t>
            </w:r>
          </w:p>
          <w:p w14:paraId="145DC928" w14:textId="32A25D87" w:rsidR="00DC1A24" w:rsidRDefault="00DC1A24" w:rsidP="00DC1A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Nous signalons en particulier </w:t>
            </w: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que la semaine </w:t>
            </w:r>
            <w:r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du 25 au 29 juillet</w:t>
            </w: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permet de combiner </w:t>
            </w:r>
            <w:r w:rsid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les </w:t>
            </w: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deux thématiques numériques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 : « </w:t>
            </w: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Diversifier ses pratiques pédagogiques avec le numérique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 (</w:t>
            </w: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module matin) et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« </w:t>
            </w:r>
            <w:r w:rsidRPr="004C4D73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Les outils numériques pratiques pour faciliter la vie du professeur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 » (module après-midi</w:t>
            </w:r>
            <w:r w:rsidR="00A9379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- obligatoire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). Ce choix peut donc s’avérer particulièrement intéressant. </w:t>
            </w:r>
          </w:p>
          <w:p w14:paraId="6630A7F9" w14:textId="45161B3C" w:rsidR="00DC1A24" w:rsidRDefault="00A9379D" w:rsidP="00DC1A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Plus d’informations sur le programme des stages à la carte au CAVILAM sont disponibles aux adresses suivantes :</w:t>
            </w:r>
          </w:p>
          <w:p w14:paraId="7C1F9DDE" w14:textId="46692121" w:rsidR="00A9379D" w:rsidRDefault="00A9379D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Programme et dates des tous les modules : </w:t>
            </w:r>
            <w:hyperlink r:id="rId9" w:history="1">
              <w:r w:rsidRPr="00B94E11">
                <w:rPr>
                  <w:rStyle w:val="Lienhypertexte"/>
                  <w:rFonts w:ascii="Times New Roman" w:hAnsi="Times New Roman" w:cs="Times New Roman"/>
                  <w:sz w:val="22"/>
                  <w:szCs w:val="22"/>
                  <w:lang w:val="fr-FR"/>
                </w:rPr>
                <w:t>https://www.cavilam.com/project/stage-a-la-carte/</w:t>
              </w:r>
            </w:hyperlink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</w:p>
          <w:p w14:paraId="4A28C2C2" w14:textId="77197C90" w:rsidR="00A9379D" w:rsidRDefault="00A9379D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Programme module « </w:t>
            </w:r>
            <w:r w:rsidRPr="004C4D73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Les outils numériques pratiques pour faciliter la vie du professeur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 » (module après-midi) – </w:t>
            </w:r>
            <w:r w:rsid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option 1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 : </w:t>
            </w:r>
            <w:hyperlink r:id="rId10" w:history="1">
              <w:r w:rsidRPr="00B94E11">
                <w:rPr>
                  <w:rStyle w:val="Lienhypertexte"/>
                  <w:rFonts w:ascii="Times New Roman" w:hAnsi="Times New Roman" w:cs="Times New Roman"/>
                  <w:sz w:val="22"/>
                  <w:szCs w:val="22"/>
                  <w:lang w:val="fr-FR"/>
                </w:rPr>
                <w:t>https://www.cavilam.com/project/outils-numeriques-pratiques-faciliter-vie-professeur/</w:t>
              </w:r>
            </w:hyperlink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</w:p>
          <w:p w14:paraId="0076A530" w14:textId="1DB00201" w:rsidR="00A9379D" w:rsidRDefault="00A9379D" w:rsidP="003A3AB6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Programme module « </w:t>
            </w: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Diversifier ses pratiques pédagogiques avec le numérique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 (</w:t>
            </w:r>
            <w:r w:rsidRPr="00DC1A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module matin)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– </w:t>
            </w:r>
            <w:r w:rsid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option 2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: </w:t>
            </w:r>
            <w:hyperlink r:id="rId11" w:history="1">
              <w:r w:rsidRPr="00B94E11">
                <w:rPr>
                  <w:rStyle w:val="Lienhypertexte"/>
                  <w:rFonts w:ascii="Times New Roman" w:hAnsi="Times New Roman" w:cs="Times New Roman"/>
                  <w:sz w:val="22"/>
                  <w:szCs w:val="22"/>
                  <w:lang w:val="fr-FR"/>
                </w:rPr>
                <w:t>https://www.cavilam.com/project/numerique-en-classe-de-francais/</w:t>
              </w:r>
            </w:hyperlink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</w:p>
          <w:p w14:paraId="5B189F1C" w14:textId="3AA018B2" w:rsidR="00DC1A24" w:rsidRPr="000D220D" w:rsidRDefault="000D220D" w:rsidP="00DC1A24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Tarifs des hébergements à Vichy : </w:t>
            </w:r>
            <w:hyperlink r:id="rId12" w:history="1">
              <w:r w:rsidRPr="008F025D">
                <w:rPr>
                  <w:rStyle w:val="Lienhypertexte"/>
                  <w:rFonts w:ascii="Times New Roman" w:hAnsi="Times New Roman" w:cs="Times New Roman"/>
                  <w:sz w:val="22"/>
                  <w:szCs w:val="22"/>
                  <w:lang w:val="fr-FR"/>
                </w:rPr>
                <w:t>https://www.cavilam.com/wp-content/uploads/2021/12/CAVILAM-AF-CALENDRIER-TARIFS-2022-FR.pdf</w:t>
              </w:r>
            </w:hyperlink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</w:p>
          <w:p w14:paraId="43C1BB69" w14:textId="77777777" w:rsidR="000D220D" w:rsidRDefault="000D220D" w:rsidP="00DC1A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</w:p>
          <w:p w14:paraId="73C5036E" w14:textId="7590A47A" w:rsidR="000D220D" w:rsidRDefault="000D220D" w:rsidP="00DC1A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lastRenderedPageBreak/>
              <w:t xml:space="preserve">Une fois reçus les résultats de cet appel à candidatures, les </w:t>
            </w:r>
            <w:r w:rsidR="00FF1F62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participant·e·s sont responsables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des démarches nécessaires à l’inscription au stage, ainsi qu’aux réservations (transport / hébergement) nécessaires </w:t>
            </w:r>
            <w:r w:rsidR="00C3582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pour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suivre la formation. Les participant·e·s remettent toutes les pièces justificatives demandés aux responsables du projet FLE+ (attestation d’inscription et attestation de participation).</w:t>
            </w:r>
          </w:p>
          <w:p w14:paraId="590DD24F" w14:textId="3C8CFA61" w:rsidR="000D220D" w:rsidRDefault="000D220D" w:rsidP="00DC1A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Les responsables du projet FLE+ organisent une séance d’informations pour répondr</w:t>
            </w:r>
            <w:r w:rsidR="00C3582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e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aux questions des participant·e·s sélectionné·e·s. Le formulaire de candidature en pièce jointe prévoit un espace pour les questions des candidat·e·s. </w:t>
            </w:r>
          </w:p>
          <w:p w14:paraId="71A9F452" w14:textId="70103CA7" w:rsidR="00BC6368" w:rsidRPr="005652BF" w:rsidRDefault="00BC6368" w:rsidP="00C3582F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La participation à la mobilité implique l’engagement du</w:t>
            </w:r>
            <w:r w:rsidR="00C3582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/de la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participant·e dans les activités de préparation à la mobilité (une séance de préparation sera organisée</w:t>
            </w:r>
            <w:r w:rsidR="0011778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le </w:t>
            </w:r>
            <w:r w:rsidR="00117784" w:rsidRP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jour </w:t>
            </w:r>
            <w:r w:rsidR="003A3AB6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mardi</w:t>
            </w:r>
            <w:r w:rsidR="00272217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 w:rsidR="003A3AB6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14</w:t>
            </w:r>
            <w:r w:rsidR="00272217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/06</w:t>
            </w:r>
            <w:r w:rsidR="00117784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 de </w:t>
            </w:r>
            <w:r w:rsidR="003A3AB6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12</w:t>
            </w:r>
            <w:r w:rsidR="00117784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h</w:t>
            </w:r>
            <w:r w:rsidR="00272217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00</w:t>
            </w:r>
            <w:r w:rsidR="00117784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 à </w:t>
            </w:r>
            <w:r w:rsidR="003A3AB6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14</w:t>
            </w:r>
            <w:r w:rsidR="00117784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h</w:t>
            </w:r>
            <w:r w:rsidR="00272217" w:rsidRPr="003A3AB6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00</w:t>
            </w:r>
            <w:r w:rsidR="00B30AA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environ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) et de retour et diffusion : une réunion entre les participant·e</w:t>
            </w:r>
            <w:r w:rsidR="00272217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·s sera organisée </w:t>
            </w:r>
            <w:r w:rsidR="003A3AB6" w:rsidRPr="000941E8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entre la dernière semaine d’août et la première semaine de septembre</w:t>
            </w:r>
            <w:r w:rsidR="003A3AB6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(date et horaire seront communiqués lors de la séance de préparation </w:t>
            </w:r>
            <w:r w:rsid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après concertation avec les coordinations des centres de formation participant au projet),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et une réunion du GT FLE+ </w:t>
            </w:r>
            <w:r w:rsidR="00FF1F62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de retour sur la formation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sera </w:t>
            </w:r>
            <w:r w:rsidR="003F57A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également programmée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 w:rsid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avant la fin de l’année (date et horaire seront également communiqués lors de la séance de préparation après concertation avec les coordinations des centres de formation participant au projet) </w:t>
            </w:r>
            <w:r w:rsidR="00272217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: ce sera l’occasion pour les participant·e·s de faire un retour d’expérience à tous les collègues concernés et intéressés.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</w:p>
        </w:tc>
      </w:tr>
      <w:tr w:rsidR="00AF6F9A" w:rsidRPr="008B5582" w14:paraId="5940B28D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53DBB112" w14:textId="6F4A4E1F" w:rsidR="00AF6F9A" w:rsidRPr="00AF6F9A" w:rsidRDefault="00AF6F9A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AF6F9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lastRenderedPageBreak/>
              <w:t>Préparation à la mobilité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174AD958" w14:textId="77777777" w:rsidR="000941E8" w:rsidRDefault="00DC02A0" w:rsidP="00094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Une séance de préparation à la mobilité sera organisée</w:t>
            </w:r>
            <w:r w:rsidR="000E4ADB"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le </w:t>
            </w:r>
            <w:r w:rsidR="000941E8" w:rsidRPr="000941E8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14</w:t>
            </w:r>
            <w:r w:rsidR="00272217" w:rsidRPr="000941E8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 juin</w:t>
            </w:r>
            <w:r w:rsidR="000E4ADB" w:rsidRPr="000941E8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 2022</w:t>
            </w:r>
            <w:r w:rsidR="000E4ADB"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à partir de </w:t>
            </w:r>
            <w:r w:rsidR="000941E8"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12</w:t>
            </w:r>
            <w:r w:rsidR="000E4ADB"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h</w:t>
            </w:r>
            <w:r w:rsidR="00272217"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00</w:t>
            </w:r>
            <w:r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.</w:t>
            </w:r>
            <w:r w:rsidRPr="00FF1F62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</w:p>
          <w:p w14:paraId="2E24EA63" w14:textId="183DD616" w:rsidR="00DC02A0" w:rsidRPr="00FF1F62" w:rsidRDefault="002423C5" w:rsidP="00094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2423C5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Notez cette date : l</w:t>
            </w:r>
            <w:r w:rsidR="00DC02A0" w:rsidRPr="002423C5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a participat</w:t>
            </w:r>
            <w:r w:rsidR="000941E8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ion à la séance est obligatoire et utile pour tous·tes les participant·e·s. </w:t>
            </w:r>
            <w:r w:rsidR="000941E8" w:rsidRPr="000941E8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La séance sera enregistrée pour une meilleure information de tous·tes les participant·e·s</w:t>
            </w:r>
          </w:p>
        </w:tc>
      </w:tr>
      <w:tr w:rsidR="005000C5" w:rsidRPr="008B5582" w14:paraId="2390DD4B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734AED48" w14:textId="3B6BD2DE" w:rsidR="005000C5" w:rsidRDefault="0052653F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Nombre </w:t>
            </w:r>
            <w:r w:rsidR="005000C5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de bourses disponibles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5079F84C" w14:textId="6152729B" w:rsidR="005652BF" w:rsidRPr="00976071" w:rsidRDefault="00FF1F62" w:rsidP="00491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10</w:t>
            </w:r>
            <w:r w:rsidR="005000C5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bourses disponibles</w:t>
            </w:r>
            <w:r w:rsidR="0049163A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 w:rsidR="0052653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couvrant les</w:t>
            </w:r>
            <w:r w:rsidR="005652BF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frais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d’inscription à la formation (5 jours de formation), ainsi </w:t>
            </w: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que les frais</w:t>
            </w:r>
            <w:r w:rsidR="005652BF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de voyage et de séjour</w:t>
            </w: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(6</w:t>
            </w:r>
            <w:r w:rsidR="00883D8B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jours). Chaque bourse aura un montant total de </w:t>
            </w:r>
            <w:r w:rsidR="00F21E24" w:rsidRPr="00F21E24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1.58</w:t>
            </w:r>
            <w:r w:rsidR="00883D8B" w:rsidRPr="00F21E24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5,00 €</w:t>
            </w:r>
            <w:r w:rsidR="00883D8B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qui couvrira toutes les dépenses des participant·e·s.</w:t>
            </w:r>
          </w:p>
          <w:p w14:paraId="3845FFF2" w14:textId="451B4009" w:rsidR="00883D8B" w:rsidRPr="00976071" w:rsidRDefault="00883D8B" w:rsidP="00491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</w:p>
          <w:p w14:paraId="417460AD" w14:textId="1372AED7" w:rsidR="00883D8B" w:rsidRPr="00976071" w:rsidRDefault="00883D8B" w:rsidP="00491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Les participant·e·s seront responsables </w:t>
            </w:r>
            <w:r w:rsidR="00CF32E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de l’inscription et de son paiement, ainsi que de la réservation du 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voyage et </w:t>
            </w:r>
            <w:r w:rsidR="00CF32E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de l’hébergement sur place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. L’organisme d’accueil ainsi que l’organisme coordinateur </w:t>
            </w:r>
            <w:r w:rsidR="000D220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fournissent l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es renseignements</w:t>
            </w:r>
            <w:r w:rsidR="000D220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nécessaires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, mais </w:t>
            </w:r>
            <w:r w:rsidR="00F001A3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toutes les réservations sont à charge 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des participant·e·</w:t>
            </w:r>
            <w:r w:rsidR="00F001A3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s qui reçoivent la bourse pour pouvoir assurer les paiements nécessaires.</w:t>
            </w:r>
          </w:p>
          <w:p w14:paraId="1EA519C4" w14:textId="77777777" w:rsidR="00883D8B" w:rsidRPr="00976071" w:rsidRDefault="00883D8B" w:rsidP="00491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</w:p>
          <w:p w14:paraId="14D8BC9D" w14:textId="7DA17E45" w:rsidR="00883D8B" w:rsidRPr="00976071" w:rsidRDefault="00883D8B" w:rsidP="00491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La bourse sera versée </w:t>
            </w:r>
            <w:r w:rsidRPr="00976071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u w:val="single"/>
                <w:lang w:val="fr-FR"/>
              </w:rPr>
              <w:t>en 2 tranches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 : la première</w:t>
            </w:r>
            <w:r w:rsidR="00F001A3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(70% de la bourse)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avant la mobilité, </w:t>
            </w:r>
            <w:r w:rsidR="000D220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après signature des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contrat</w:t>
            </w:r>
            <w:r w:rsidR="000D220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s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de bourse, la deuxième </w:t>
            </w:r>
            <w:r w:rsidR="00F001A3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(solde de la bourse) 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au retour de la mobilité, une fois le rapport EU-Survey</w:t>
            </w:r>
            <w:r w:rsidR="0052653F"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complété</w:t>
            </w:r>
            <w:r w:rsidR="00422A02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et l’</w:t>
            </w:r>
            <w:r w:rsidR="00646B1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attestation</w:t>
            </w:r>
            <w:r w:rsidR="00422A02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de participation remis</w:t>
            </w:r>
            <w:r w:rsidRPr="00976071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.  </w:t>
            </w:r>
          </w:p>
          <w:p w14:paraId="1C7DDCEB" w14:textId="2A63F980" w:rsidR="005000C5" w:rsidRPr="00976071" w:rsidRDefault="005000C5" w:rsidP="00883D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</w:p>
        </w:tc>
      </w:tr>
      <w:tr w:rsidR="005000C5" w:rsidRPr="008B5582" w14:paraId="4651C585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07864963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Comment envoyer la candidature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45BA04DA" w14:textId="77777777" w:rsidR="005000C5" w:rsidRPr="0049163A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Pour envoyer votre candidature :</w:t>
            </w:r>
          </w:p>
          <w:p w14:paraId="0C58E748" w14:textId="5732BDE1" w:rsidR="005000C5" w:rsidRPr="0049163A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1. Remplissez le formulaire Word dans toutes ses parties.</w:t>
            </w:r>
          </w:p>
          <w:p w14:paraId="49AD5E97" w14:textId="1D948EBC" w:rsidR="005000C5" w:rsidRPr="00F21E24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2. </w:t>
            </w: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Renommez le document comme suit : « </w:t>
            </w:r>
            <w:r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FLE+_Candidature_</w:t>
            </w:r>
            <w:r w:rsidR="00CF32EA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CAVILAM</w:t>
            </w:r>
            <w:r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_Nom_Prenom_Organisme</w:t>
            </w: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 ».</w:t>
            </w:r>
          </w:p>
          <w:p w14:paraId="711291DA" w14:textId="61D66E8A" w:rsidR="00CF32EA" w:rsidRPr="00F21E24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3. </w:t>
            </w:r>
            <w:r w:rsidR="00CF32EA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Remplissez le formulaire PDF « FORMULAIRE D'INSCRIPTION RENCONTRES PÉDAGOGIQUES 2022 » dans les parties qui vous </w:t>
            </w:r>
            <w:r w:rsidR="00CF32EA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lastRenderedPageBreak/>
              <w:t>concernent : données du</w:t>
            </w:r>
            <w:r w:rsidR="00C3582F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/de la</w:t>
            </w:r>
            <w:r w:rsidR="00CF32EA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participant·e, hébergement, stages à la carte. </w:t>
            </w:r>
            <w:r w:rsidR="00CF32EA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À cette </w:t>
            </w:r>
            <w:r w:rsidR="00422A02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>étape</w:t>
            </w:r>
            <w:r w:rsidR="00CF32EA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>, il n’est pas nécessaire de le renvoyer au CAVILAM : vous le ferez une fois que votre candidature sera acceptée</w:t>
            </w:r>
            <w:r w:rsidR="00422A02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, conjointement au paiement </w:t>
            </w:r>
            <w:r w:rsidR="00646B1D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dont </w:t>
            </w:r>
            <w:r w:rsidR="00422A02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u w:val="single"/>
                <w:lang w:val="fr-FR"/>
              </w:rPr>
              <w:t>vous serez responsables.</w:t>
            </w:r>
          </w:p>
          <w:p w14:paraId="1B12B1DB" w14:textId="74F985A6" w:rsidR="005000C5" w:rsidRPr="0049163A" w:rsidRDefault="00CF32EA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4. </w:t>
            </w:r>
            <w:r w:rsidR="00422A02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Envoyez les deux documents</w:t>
            </w:r>
            <w:r w:rsidR="005000C5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au plus tard </w:t>
            </w:r>
            <w:r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jour </w:t>
            </w:r>
            <w:r w:rsidR="00272217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>07 juin 2022</w:t>
            </w:r>
            <w:r w:rsidR="00422A02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 </w:t>
            </w:r>
            <w:r w:rsidR="005000C5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à </w:t>
            </w:r>
            <w:r w:rsidR="00C40BB8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>minuit</w:t>
            </w:r>
            <w:r w:rsidR="005000C5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à :</w:t>
            </w:r>
          </w:p>
          <w:p w14:paraId="373DE0B9" w14:textId="77777777" w:rsidR="005000C5" w:rsidRPr="0049163A" w:rsidRDefault="00B762D0" w:rsidP="0049163A">
            <w:pPr>
              <w:autoSpaceDE w:val="0"/>
              <w:autoSpaceDN w:val="0"/>
              <w:adjustRightInd w:val="0"/>
              <w:spacing w:after="100"/>
              <w:ind w:left="708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hyperlink r:id="rId13" w:history="1">
              <w:r w:rsidR="005000C5" w:rsidRPr="0049163A">
                <w:rPr>
                  <w:rStyle w:val="Lienhypertexte"/>
                  <w:rFonts w:ascii="Times New Roman" w:hAnsi="Times New Roman" w:cs="Times New Roman"/>
                  <w:sz w:val="22"/>
                  <w:szCs w:val="22"/>
                  <w:lang w:val="fr-FR"/>
                </w:rPr>
                <w:t>s.djelveh@proforal.be</w:t>
              </w:r>
            </w:hyperlink>
          </w:p>
          <w:p w14:paraId="5BE2DB98" w14:textId="1449353F" w:rsidR="005000C5" w:rsidRPr="0049163A" w:rsidRDefault="00084E0E" w:rsidP="0049163A">
            <w:pPr>
              <w:autoSpaceDE w:val="0"/>
              <w:autoSpaceDN w:val="0"/>
              <w:adjustRightInd w:val="0"/>
              <w:spacing w:after="100"/>
              <w:ind w:left="708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 w:rsidRPr="0049163A"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2"/>
                <w:szCs w:val="22"/>
                <w:lang w:val="fr-FR"/>
              </w:rPr>
              <w:t>avec en copie</w:t>
            </w:r>
            <w:r w:rsidR="005000C5"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 : </w:t>
            </w:r>
            <w:hyperlink r:id="rId14" w:history="1">
              <w:r w:rsidR="005000C5" w:rsidRPr="0049163A">
                <w:rPr>
                  <w:rStyle w:val="Lienhypertexte"/>
                  <w:rFonts w:ascii="Times New Roman" w:hAnsi="Times New Roman" w:cs="Times New Roman"/>
                  <w:sz w:val="22"/>
                  <w:szCs w:val="22"/>
                  <w:lang w:val="fr-FR"/>
                </w:rPr>
                <w:t>info@bruxellesfle.be</w:t>
              </w:r>
            </w:hyperlink>
            <w:r w:rsidR="005000C5"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</w:p>
          <w:p w14:paraId="290F2D83" w14:textId="45861985" w:rsidR="005000C5" w:rsidRPr="0049163A" w:rsidRDefault="005000C5" w:rsidP="00272217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highlight w:val="yellow"/>
                <w:lang w:val="fr-FR"/>
              </w:rPr>
            </w:pPr>
            <w:r w:rsidRPr="0049163A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4. Les résultats de l’appel à </w:t>
            </w:r>
            <w:r w:rsidRPr="00F001A3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candidature seront communiqu</w:t>
            </w: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és </w:t>
            </w:r>
            <w:r w:rsidR="00272217"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le </w:t>
            </w:r>
            <w:r w:rsidR="00CF32EA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jour </w:t>
            </w:r>
            <w:r w:rsidR="00272217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>09</w:t>
            </w:r>
            <w:r w:rsidR="00F21E24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 juin</w:t>
            </w:r>
            <w:r w:rsidR="00272217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 xml:space="preserve"> </w:t>
            </w:r>
            <w:r w:rsidR="000E4ADB" w:rsidRPr="00F21E2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u w:val="single"/>
                <w:lang w:val="fr-FR"/>
              </w:rPr>
              <w:t>2022</w:t>
            </w:r>
            <w:r w:rsidRP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 au plus tard.</w:t>
            </w:r>
          </w:p>
        </w:tc>
      </w:tr>
      <w:tr w:rsidR="005000C5" w:rsidRPr="008B5582" w14:paraId="5213F966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4A134B5E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1167E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lastRenderedPageBreak/>
              <w:t>Date de publication de l’appel à candidature :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613F3CFF" w14:textId="2664BCD4" w:rsidR="005000C5" w:rsidRPr="00F001A3" w:rsidRDefault="006F04FC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Mardi 24/05/2022</w:t>
            </w:r>
          </w:p>
        </w:tc>
      </w:tr>
      <w:tr w:rsidR="005000C5" w:rsidRPr="008B5582" w14:paraId="5E6EC840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63539412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1167E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</w:rPr>
              <w:t xml:space="preserve">Date limite de candidature : 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</w:tcPr>
          <w:p w14:paraId="18646476" w14:textId="740A6E17" w:rsidR="005000C5" w:rsidRPr="00F001A3" w:rsidRDefault="002423C5" w:rsidP="00F21E2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 xml:space="preserve">07/06/2022 à </w:t>
            </w:r>
            <w:r w:rsidR="00F21E24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fr-FR"/>
              </w:rPr>
              <w:t>14h00</w:t>
            </w:r>
          </w:p>
        </w:tc>
      </w:tr>
      <w:tr w:rsidR="005000C5" w:rsidRPr="00021B4A" w14:paraId="2B926BC8" w14:textId="77777777" w:rsidTr="00723BA8">
        <w:tc>
          <w:tcPr>
            <w:tcW w:w="2334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B0520BB" w14:textId="77777777" w:rsidR="005000C5" w:rsidRPr="001167E4" w:rsidRDefault="005000C5" w:rsidP="00723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 w:rsidRPr="001167E4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Contact et questions</w:t>
            </w:r>
          </w:p>
        </w:tc>
        <w:tc>
          <w:tcPr>
            <w:tcW w:w="6662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EC58BD5" w14:textId="77777777" w:rsidR="005000C5" w:rsidRPr="00710269" w:rsidRDefault="005000C5" w:rsidP="0049163A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it-IT"/>
              </w:rPr>
            </w:pPr>
            <w:r w:rsidRPr="00710269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it-IT"/>
              </w:rPr>
              <w:t xml:space="preserve">Sara Djelveh (Proforal ASBL) </w:t>
            </w:r>
            <w:hyperlink r:id="rId15" w:history="1">
              <w:r w:rsidRPr="00710269">
                <w:rPr>
                  <w:rStyle w:val="Lienhypertexte"/>
                  <w:rFonts w:ascii="Times New Roman" w:hAnsi="Times New Roman" w:cs="Times New Roman"/>
                  <w:b/>
                  <w:color w:val="385623" w:themeColor="accent6" w:themeShade="80"/>
                  <w:sz w:val="22"/>
                  <w:szCs w:val="22"/>
                  <w:lang w:val="it-IT"/>
                </w:rPr>
                <w:t>s.djelveh@proforal.be</w:t>
              </w:r>
            </w:hyperlink>
            <w:r w:rsidRPr="00710269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5797552E" w14:textId="052EA4BC" w:rsidR="00643065" w:rsidRPr="00710269" w:rsidRDefault="00643065" w:rsidP="005000C5">
      <w:pPr>
        <w:rPr>
          <w:lang w:val="it-IT"/>
        </w:rPr>
      </w:pPr>
    </w:p>
    <w:p w14:paraId="4D0B93C1" w14:textId="56A5BFDE" w:rsidR="00643065" w:rsidRPr="00710269" w:rsidRDefault="00643065" w:rsidP="00DC7B99">
      <w:pPr>
        <w:jc w:val="center"/>
        <w:rPr>
          <w:lang w:val="it-IT"/>
        </w:rPr>
      </w:pPr>
    </w:p>
    <w:p w14:paraId="5404A3ED" w14:textId="327322FA" w:rsidR="00401010" w:rsidRPr="00401010" w:rsidRDefault="00401010" w:rsidP="00401010">
      <w:pPr>
        <w:rPr>
          <w:rFonts w:ascii="Times New Roman" w:hAnsi="Times New Roman" w:cs="Times New Roman"/>
          <w:color w:val="385623" w:themeColor="accent6" w:themeShade="80"/>
          <w:sz w:val="22"/>
          <w:szCs w:val="22"/>
          <w:u w:val="single"/>
          <w:lang w:val="fr-FR"/>
        </w:rPr>
      </w:pPr>
      <w:r w:rsidRPr="00401010">
        <w:rPr>
          <w:rFonts w:ascii="Times New Roman" w:hAnsi="Times New Roman" w:cs="Times New Roman"/>
          <w:color w:val="385623" w:themeColor="accent6" w:themeShade="80"/>
          <w:sz w:val="22"/>
          <w:szCs w:val="22"/>
          <w:u w:val="single"/>
          <w:lang w:val="fr-FR"/>
        </w:rPr>
        <w:t xml:space="preserve">ANNEX </w:t>
      </w:r>
      <w:r w:rsidR="00BC6368">
        <w:rPr>
          <w:rFonts w:ascii="Times New Roman" w:hAnsi="Times New Roman" w:cs="Times New Roman"/>
          <w:color w:val="385623" w:themeColor="accent6" w:themeShade="80"/>
          <w:sz w:val="22"/>
          <w:szCs w:val="22"/>
          <w:u w:val="single"/>
          <w:lang w:val="fr-FR"/>
        </w:rPr>
        <w:t xml:space="preserve">1 </w:t>
      </w:r>
      <w:r w:rsidRPr="00401010">
        <w:rPr>
          <w:rFonts w:ascii="Times New Roman" w:hAnsi="Times New Roman" w:cs="Times New Roman"/>
          <w:color w:val="385623" w:themeColor="accent6" w:themeShade="80"/>
          <w:sz w:val="22"/>
          <w:szCs w:val="22"/>
          <w:u w:val="single"/>
          <w:lang w:val="fr-FR"/>
        </w:rPr>
        <w:t>À L’APPEL À CANDIDATURE : Critères de sélection :</w:t>
      </w:r>
    </w:p>
    <w:p w14:paraId="6CE48E76" w14:textId="7A3C91F4" w:rsidR="00401010" w:rsidRDefault="00401010" w:rsidP="00401010">
      <w:pPr>
        <w:rPr>
          <w:lang w:val="fr-FR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662"/>
      </w:tblGrid>
      <w:tr w:rsidR="00CF32EA" w14:paraId="4B7ABF2E" w14:textId="77777777" w:rsidTr="00CF32EA">
        <w:tc>
          <w:tcPr>
            <w:tcW w:w="23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14:paraId="6F2338A1" w14:textId="77777777" w:rsidR="00CF32EA" w:rsidRDefault="00CF3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Critères de contrôle</w:t>
            </w:r>
          </w:p>
        </w:tc>
        <w:tc>
          <w:tcPr>
            <w:tcW w:w="666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14:paraId="35406942" w14:textId="31247EE8" w:rsidR="00CF32EA" w:rsidRDefault="00CF32EA" w:rsidP="00CF32EA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Engagement du candidat (participation aux réunions et aux activités prévues</w:t>
            </w:r>
            <w:r w:rsidR="00422A02"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 dans cet appel et repris dans le formulaire en PJ</w:t>
            </w:r>
            <w:r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) ;</w:t>
            </w:r>
          </w:p>
          <w:p w14:paraId="0312CAB1" w14:textId="46A7A900" w:rsidR="00CF32EA" w:rsidRDefault="00CF32EA" w:rsidP="00CF32EA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Diversification des profils</w:t>
            </w:r>
            <w:r w:rsidR="00422A02"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;</w:t>
            </w:r>
          </w:p>
          <w:p w14:paraId="02F6A73F" w14:textId="0CFB738D" w:rsidR="00CF32EA" w:rsidRDefault="00422A02" w:rsidP="00CF32EA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Équité entre institutions (possiblement au moins un·e participant·e par organisme membre du projet)</w:t>
            </w:r>
          </w:p>
        </w:tc>
      </w:tr>
      <w:tr w:rsidR="00CF32EA" w14:paraId="701DB017" w14:textId="77777777" w:rsidTr="00CF32EA">
        <w:tc>
          <w:tcPr>
            <w:tcW w:w="23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14:paraId="3F052764" w14:textId="77777777" w:rsidR="00CF32EA" w:rsidRDefault="00CF3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2"/>
                <w:szCs w:val="22"/>
                <w:lang w:val="fr-FR"/>
              </w:rPr>
              <w:t>Critères de sélection</w:t>
            </w:r>
          </w:p>
        </w:tc>
        <w:tc>
          <w:tcPr>
            <w:tcW w:w="666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14:paraId="43C4F7CD" w14:textId="4744FCA0" w:rsidR="00CF32EA" w:rsidRDefault="00CF32EA" w:rsidP="00CF32EA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Pertinence du profil du candidat</w:t>
            </w:r>
            <w:r w:rsidR="00422A02"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 </w:t>
            </w:r>
            <w:r w:rsidR="00422A02"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: priorité à ceux·celles qui n’ont jamais participé au projet FLE+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(max 4 points).</w:t>
            </w:r>
          </w:p>
          <w:p w14:paraId="76635075" w14:textId="77777777" w:rsidR="00CF32EA" w:rsidRDefault="00CF32EA" w:rsidP="00CF32EA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 xml:space="preserve">Pertinence du projet de formation </w:t>
            </w:r>
            <w:r>
              <w:rPr>
                <w:rFonts w:ascii="Times New Roman" w:hAnsi="Times New Roman" w:cs="Times New Roman"/>
                <w:bCs/>
                <w:color w:val="385623" w:themeColor="accent6" w:themeShade="80"/>
                <w:sz w:val="22"/>
                <w:szCs w:val="22"/>
                <w:lang w:val="fr-FR"/>
              </w:rPr>
              <w:t>(max 6 points).</w:t>
            </w:r>
          </w:p>
          <w:p w14:paraId="5B12824D" w14:textId="77777777" w:rsidR="00CF32EA" w:rsidRDefault="00CF32EA">
            <w:pPr>
              <w:autoSpaceDE w:val="0"/>
              <w:autoSpaceDN w:val="0"/>
              <w:adjustRightInd w:val="0"/>
              <w:spacing w:after="100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  <w:lang w:val="fr-FR"/>
              </w:rPr>
              <w:t>Total : max 10 points.</w:t>
            </w:r>
          </w:p>
        </w:tc>
      </w:tr>
    </w:tbl>
    <w:p w14:paraId="70119852" w14:textId="078967ED" w:rsidR="00401010" w:rsidRDefault="00401010" w:rsidP="00CF32EA"/>
    <w:p w14:paraId="6BEF3C70" w14:textId="65278C9F" w:rsidR="00BC6368" w:rsidRDefault="00382C20" w:rsidP="002423C5">
      <w:pPr>
        <w:rPr>
          <w:rFonts w:ascii="Times New Roman" w:hAnsi="Times New Roman" w:cs="Times New Roman"/>
          <w:color w:val="385623" w:themeColor="accent6" w:themeShade="80"/>
          <w:sz w:val="22"/>
          <w:szCs w:val="22"/>
          <w:u w:val="single"/>
          <w:lang w:val="fr-FR"/>
        </w:rPr>
      </w:pPr>
      <w:r>
        <w:rPr>
          <w:rFonts w:ascii="Times New Roman" w:hAnsi="Times New Roman" w:cs="Times New Roman"/>
          <w:color w:val="385623" w:themeColor="accent6" w:themeShade="80"/>
          <w:sz w:val="22"/>
          <w:szCs w:val="22"/>
          <w:u w:val="single"/>
          <w:lang w:val="fr-FR"/>
        </w:rPr>
        <w:t>AUTRES ANNEXES</w:t>
      </w:r>
    </w:p>
    <w:p w14:paraId="394AAC4B" w14:textId="527B3F23" w:rsidR="00382C20" w:rsidRDefault="00382C20" w:rsidP="002423C5">
      <w:pPr>
        <w:rPr>
          <w:rFonts w:ascii="Times New Roman" w:hAnsi="Times New Roman" w:cs="Times New Roman"/>
          <w:color w:val="385623" w:themeColor="accent6" w:themeShade="80"/>
          <w:sz w:val="22"/>
          <w:szCs w:val="22"/>
          <w:u w:val="single"/>
          <w:lang w:val="fr-FR"/>
        </w:rPr>
      </w:pPr>
    </w:p>
    <w:p w14:paraId="5D31F974" w14:textId="4160598C" w:rsidR="00382C20" w:rsidRDefault="00382C20" w:rsidP="00382C20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>Formulaire de candidature (Word).</w:t>
      </w:r>
    </w:p>
    <w:p w14:paraId="50FF6747" w14:textId="5F395B8C" w:rsidR="00382C20" w:rsidRDefault="00382C20" w:rsidP="00382C20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>Formulaire d’inscription rencontres pédagogiques 2022 (PDF).</w:t>
      </w:r>
    </w:p>
    <w:p w14:paraId="4951743D" w14:textId="2E394F0B" w:rsidR="00382C20" w:rsidRDefault="00382C20" w:rsidP="00382C20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</w:pPr>
      <w:r w:rsidRPr="00382C20"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 xml:space="preserve">Programme module « Les outils numériques pratiques pour faciliter la vie du professeur </w:t>
      </w:r>
      <w: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>» (module après-midi).</w:t>
      </w:r>
    </w:p>
    <w:p w14:paraId="372184CB" w14:textId="38935633" w:rsidR="00382C20" w:rsidRDefault="00382C20" w:rsidP="00382C20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</w:pPr>
      <w:r w:rsidRPr="00382C20"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>Programme module « Diversifier ses pratiques pédagogiques avec le numérique (module matin)</w:t>
      </w:r>
      <w: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>.</w:t>
      </w:r>
      <w:bookmarkStart w:id="0" w:name="_GoBack"/>
      <w:bookmarkEnd w:id="0"/>
    </w:p>
    <w:p w14:paraId="2EAB1AFD" w14:textId="6E7FF00E" w:rsidR="00382C20" w:rsidRPr="00382C20" w:rsidRDefault="00382C20" w:rsidP="00382C20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 xml:space="preserve">Tarifs des hébergements à </w:t>
      </w:r>
      <w:r>
        <w:rPr>
          <w:rFonts w:ascii="Times New Roman" w:hAnsi="Times New Roman" w:cs="Times New Roman"/>
          <w:color w:val="385623" w:themeColor="accent6" w:themeShade="80"/>
          <w:sz w:val="22"/>
          <w:szCs w:val="22"/>
          <w:lang w:val="fr-FR"/>
        </w:rPr>
        <w:t>Vichy.</w:t>
      </w:r>
    </w:p>
    <w:sectPr w:rsidR="00382C20" w:rsidRPr="00382C20" w:rsidSect="008848D6">
      <w:headerReference w:type="default" r:id="rId16"/>
      <w:footerReference w:type="even" r:id="rId17"/>
      <w:footerReference w:type="default" r:id="rId1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3F14A" w14:textId="77777777" w:rsidR="008328FA" w:rsidRDefault="008328FA" w:rsidP="008848D6">
      <w:r>
        <w:separator/>
      </w:r>
    </w:p>
  </w:endnote>
  <w:endnote w:type="continuationSeparator" w:id="0">
    <w:p w14:paraId="718D6B07" w14:textId="77777777" w:rsidR="008328FA" w:rsidRDefault="008328FA" w:rsidP="0088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922536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98D0249" w14:textId="51BADCCD" w:rsidR="00D63884" w:rsidRDefault="00D63884" w:rsidP="000E443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C1700F7" w14:textId="77777777" w:rsidR="00D63884" w:rsidRDefault="00D638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5171150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D1534B2" w14:textId="76641257" w:rsidR="00D63884" w:rsidRDefault="00D63884" w:rsidP="000E443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82C20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4FFB078" w14:textId="4B551E05" w:rsidR="008848D6" w:rsidRDefault="00D34E0B">
    <w:pPr>
      <w:pStyle w:val="Pieddepage"/>
    </w:pPr>
    <w:r w:rsidRPr="00853396">
      <w:rPr>
        <w:b/>
        <w:noProof/>
        <w:sz w:val="28"/>
        <w:lang w:eastAsia="fr-BE"/>
      </w:rPr>
      <w:drawing>
        <wp:anchor distT="0" distB="0" distL="114300" distR="114300" simplePos="0" relativeHeight="251661312" behindDoc="1" locked="0" layoutInCell="1" allowOverlap="1" wp14:anchorId="1B6D89D9" wp14:editId="2822B716">
          <wp:simplePos x="0" y="0"/>
          <wp:positionH relativeFrom="column">
            <wp:posOffset>152400</wp:posOffset>
          </wp:positionH>
          <wp:positionV relativeFrom="paragraph">
            <wp:posOffset>18203</wp:posOffset>
          </wp:positionV>
          <wp:extent cx="798247" cy="634143"/>
          <wp:effectExtent l="0" t="0" r="1905" b="127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47" cy="634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8D6" w:rsidRPr="008848D6">
      <w:rPr>
        <w:color w:val="595959" w:themeColor="text1" w:themeTint="A6"/>
        <w:sz w:val="18"/>
        <w:szCs w:val="18"/>
      </w:rPr>
      <w:ptab w:relativeTo="margin" w:alignment="center" w:leader="none"/>
    </w:r>
    <w:r w:rsidR="008848D6" w:rsidRPr="008848D6">
      <w:rPr>
        <w:color w:val="595959" w:themeColor="text1" w:themeTint="A6"/>
        <w:sz w:val="18"/>
        <w:szCs w:val="18"/>
      </w:rPr>
      <w:ptab w:relativeTo="margin" w:alignment="right" w:leader="none"/>
    </w:r>
    <w:r w:rsidR="008848D6">
      <w:rPr>
        <w:noProof/>
        <w:color w:val="595959" w:themeColor="text1" w:themeTint="A6"/>
        <w:sz w:val="18"/>
        <w:szCs w:val="18"/>
        <w:lang w:eastAsia="fr-BE"/>
      </w:rPr>
      <w:drawing>
        <wp:inline distT="0" distB="0" distL="0" distR="0" wp14:anchorId="5F420F29" wp14:editId="044C9135">
          <wp:extent cx="1967322" cy="432000"/>
          <wp:effectExtent l="0" t="0" r="127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32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7EFDB" w14:textId="77777777" w:rsidR="008328FA" w:rsidRDefault="008328FA" w:rsidP="008848D6">
      <w:r>
        <w:separator/>
      </w:r>
    </w:p>
  </w:footnote>
  <w:footnote w:type="continuationSeparator" w:id="0">
    <w:p w14:paraId="3B76EB04" w14:textId="77777777" w:rsidR="008328FA" w:rsidRDefault="008328FA" w:rsidP="0088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D0FA" w14:textId="58F37034" w:rsidR="008848D6" w:rsidRDefault="007377C7" w:rsidP="00D34E0B">
    <w:pPr>
      <w:pStyle w:val="En-tte"/>
    </w:pPr>
    <w:r w:rsidRPr="009F596E">
      <w:rPr>
        <w:b/>
        <w:noProof/>
        <w:sz w:val="28"/>
        <w:lang w:eastAsia="fr-BE"/>
      </w:rPr>
      <w:drawing>
        <wp:anchor distT="0" distB="0" distL="114300" distR="114300" simplePos="0" relativeHeight="251659264" behindDoc="1" locked="0" layoutInCell="1" allowOverlap="1" wp14:anchorId="69EA7D6A" wp14:editId="553EE0AA">
          <wp:simplePos x="0" y="0"/>
          <wp:positionH relativeFrom="column">
            <wp:posOffset>4277975</wp:posOffset>
          </wp:positionH>
          <wp:positionV relativeFrom="paragraph">
            <wp:posOffset>33655</wp:posOffset>
          </wp:positionV>
          <wp:extent cx="1453199" cy="735803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199" cy="735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BE"/>
      </w:rPr>
      <w:drawing>
        <wp:inline distT="0" distB="0" distL="0" distR="0" wp14:anchorId="2449AC7F" wp14:editId="396B488C">
          <wp:extent cx="1270000" cy="7874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44B"/>
    <w:multiLevelType w:val="multilevel"/>
    <w:tmpl w:val="E77041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2C6852"/>
    <w:multiLevelType w:val="hybridMultilevel"/>
    <w:tmpl w:val="502C2CC0"/>
    <w:lvl w:ilvl="0" w:tplc="4B5203D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AE0"/>
    <w:multiLevelType w:val="hybridMultilevel"/>
    <w:tmpl w:val="585E6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081"/>
    <w:multiLevelType w:val="hybridMultilevel"/>
    <w:tmpl w:val="0992619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C4577"/>
    <w:multiLevelType w:val="multilevel"/>
    <w:tmpl w:val="6F2434C2"/>
    <w:lvl w:ilvl="0">
      <w:numFmt w:val="bullet"/>
      <w:lvlText w:val="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5752F7"/>
    <w:multiLevelType w:val="hybridMultilevel"/>
    <w:tmpl w:val="BFBC40B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8A3FFF"/>
    <w:multiLevelType w:val="hybridMultilevel"/>
    <w:tmpl w:val="92346B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7104D"/>
    <w:multiLevelType w:val="hybridMultilevel"/>
    <w:tmpl w:val="1504A5B2"/>
    <w:lvl w:ilvl="0" w:tplc="D918F8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044F"/>
    <w:multiLevelType w:val="hybridMultilevel"/>
    <w:tmpl w:val="DD56F15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BD0B81"/>
    <w:multiLevelType w:val="hybridMultilevel"/>
    <w:tmpl w:val="EFBCC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81332"/>
    <w:multiLevelType w:val="hybridMultilevel"/>
    <w:tmpl w:val="3F1A44B0"/>
    <w:lvl w:ilvl="0" w:tplc="D918F8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5C2F74"/>
    <w:multiLevelType w:val="hybridMultilevel"/>
    <w:tmpl w:val="7766F1EE"/>
    <w:lvl w:ilvl="0" w:tplc="91C0163A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A4B7F"/>
    <w:multiLevelType w:val="hybridMultilevel"/>
    <w:tmpl w:val="88EC69E0"/>
    <w:lvl w:ilvl="0" w:tplc="04D605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D8014D"/>
    <w:multiLevelType w:val="hybridMultilevel"/>
    <w:tmpl w:val="22D6D9AE"/>
    <w:lvl w:ilvl="0" w:tplc="138C6034">
      <w:numFmt w:val="bullet"/>
      <w:lvlText w:val="-"/>
      <w:lvlJc w:val="left"/>
      <w:pPr>
        <w:ind w:left="620" w:hanging="62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0C29DC"/>
    <w:multiLevelType w:val="hybridMultilevel"/>
    <w:tmpl w:val="48C069EC"/>
    <w:lvl w:ilvl="0" w:tplc="D918F8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B1E5B5D"/>
    <w:multiLevelType w:val="hybridMultilevel"/>
    <w:tmpl w:val="2CC25CFA"/>
    <w:lvl w:ilvl="0" w:tplc="91C0163A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B981425"/>
    <w:multiLevelType w:val="hybridMultilevel"/>
    <w:tmpl w:val="11E85536"/>
    <w:lvl w:ilvl="0" w:tplc="D918F8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0530B"/>
    <w:multiLevelType w:val="hybridMultilevel"/>
    <w:tmpl w:val="B2A4E53E"/>
    <w:lvl w:ilvl="0" w:tplc="AC9435BA"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D5FC6"/>
    <w:multiLevelType w:val="hybridMultilevel"/>
    <w:tmpl w:val="F8D23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59E2"/>
    <w:multiLevelType w:val="hybridMultilevel"/>
    <w:tmpl w:val="DAC452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C667D"/>
    <w:multiLevelType w:val="hybridMultilevel"/>
    <w:tmpl w:val="2478696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B019F1"/>
    <w:multiLevelType w:val="hybridMultilevel"/>
    <w:tmpl w:val="EB70BC84"/>
    <w:lvl w:ilvl="0" w:tplc="D918F8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F46C3"/>
    <w:multiLevelType w:val="hybridMultilevel"/>
    <w:tmpl w:val="D5A83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45923"/>
    <w:multiLevelType w:val="hybridMultilevel"/>
    <w:tmpl w:val="7CF07B9E"/>
    <w:lvl w:ilvl="0" w:tplc="D918F8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3"/>
  </w:num>
  <w:num w:numId="5">
    <w:abstractNumId w:val="9"/>
  </w:num>
  <w:num w:numId="6">
    <w:abstractNumId w:val="21"/>
  </w:num>
  <w:num w:numId="7">
    <w:abstractNumId w:val="14"/>
  </w:num>
  <w:num w:numId="8">
    <w:abstractNumId w:val="2"/>
  </w:num>
  <w:num w:numId="9">
    <w:abstractNumId w:val="22"/>
  </w:num>
  <w:num w:numId="10">
    <w:abstractNumId w:val="17"/>
  </w:num>
  <w:num w:numId="11">
    <w:abstractNumId w:val="23"/>
  </w:num>
  <w:num w:numId="12">
    <w:abstractNumId w:val="19"/>
  </w:num>
  <w:num w:numId="13">
    <w:abstractNumId w:val="1"/>
  </w:num>
  <w:num w:numId="14">
    <w:abstractNumId w:val="10"/>
  </w:num>
  <w:num w:numId="15">
    <w:abstractNumId w:val="7"/>
  </w:num>
  <w:num w:numId="16">
    <w:abstractNumId w:val="15"/>
  </w:num>
  <w:num w:numId="17">
    <w:abstractNumId w:val="1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0"/>
  </w:num>
  <w:num w:numId="22">
    <w:abstractNumId w:val="3"/>
  </w:num>
  <w:num w:numId="23">
    <w:abstractNumId w:val="12"/>
  </w:num>
  <w:num w:numId="24">
    <w:abstractNumId w:val="20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D6"/>
    <w:rsid w:val="00021A99"/>
    <w:rsid w:val="00021B4A"/>
    <w:rsid w:val="00024A11"/>
    <w:rsid w:val="00031F4F"/>
    <w:rsid w:val="000405EA"/>
    <w:rsid w:val="000502DE"/>
    <w:rsid w:val="00084E0E"/>
    <w:rsid w:val="000941E8"/>
    <w:rsid w:val="000C21CC"/>
    <w:rsid w:val="000D220D"/>
    <w:rsid w:val="000E4ADB"/>
    <w:rsid w:val="000F1F0E"/>
    <w:rsid w:val="00117784"/>
    <w:rsid w:val="001C66CC"/>
    <w:rsid w:val="0020294F"/>
    <w:rsid w:val="002423C5"/>
    <w:rsid w:val="00272217"/>
    <w:rsid w:val="00293233"/>
    <w:rsid w:val="00382C20"/>
    <w:rsid w:val="003A3AB6"/>
    <w:rsid w:val="003E5838"/>
    <w:rsid w:val="003F57AF"/>
    <w:rsid w:val="00401010"/>
    <w:rsid w:val="00422A02"/>
    <w:rsid w:val="0049163A"/>
    <w:rsid w:val="004A581A"/>
    <w:rsid w:val="004C4D73"/>
    <w:rsid w:val="005000C5"/>
    <w:rsid w:val="0052653F"/>
    <w:rsid w:val="00544F85"/>
    <w:rsid w:val="005652BF"/>
    <w:rsid w:val="00576B7E"/>
    <w:rsid w:val="00643065"/>
    <w:rsid w:val="00646B1D"/>
    <w:rsid w:val="006F04FC"/>
    <w:rsid w:val="00710269"/>
    <w:rsid w:val="007377C7"/>
    <w:rsid w:val="00793B1E"/>
    <w:rsid w:val="007D19D1"/>
    <w:rsid w:val="008328FA"/>
    <w:rsid w:val="0083652B"/>
    <w:rsid w:val="00861F7B"/>
    <w:rsid w:val="00883D8B"/>
    <w:rsid w:val="008848D6"/>
    <w:rsid w:val="00896CD7"/>
    <w:rsid w:val="009152EE"/>
    <w:rsid w:val="009729A7"/>
    <w:rsid w:val="00972BE0"/>
    <w:rsid w:val="00976071"/>
    <w:rsid w:val="009A642B"/>
    <w:rsid w:val="00A9379D"/>
    <w:rsid w:val="00A962A2"/>
    <w:rsid w:val="00AC103E"/>
    <w:rsid w:val="00AC7FE5"/>
    <w:rsid w:val="00AE049D"/>
    <w:rsid w:val="00AF6F9A"/>
    <w:rsid w:val="00B14F58"/>
    <w:rsid w:val="00B30AAD"/>
    <w:rsid w:val="00B57749"/>
    <w:rsid w:val="00B96F7F"/>
    <w:rsid w:val="00BA32DA"/>
    <w:rsid w:val="00BC6368"/>
    <w:rsid w:val="00C01E2F"/>
    <w:rsid w:val="00C3582F"/>
    <w:rsid w:val="00C40BB8"/>
    <w:rsid w:val="00C5500C"/>
    <w:rsid w:val="00C91C40"/>
    <w:rsid w:val="00CF32EA"/>
    <w:rsid w:val="00CF4CCB"/>
    <w:rsid w:val="00D34E0B"/>
    <w:rsid w:val="00D63884"/>
    <w:rsid w:val="00DC02A0"/>
    <w:rsid w:val="00DC162F"/>
    <w:rsid w:val="00DC1A24"/>
    <w:rsid w:val="00DC7B99"/>
    <w:rsid w:val="00DD432D"/>
    <w:rsid w:val="00E0020A"/>
    <w:rsid w:val="00E311A2"/>
    <w:rsid w:val="00E446A6"/>
    <w:rsid w:val="00F001A3"/>
    <w:rsid w:val="00F21E24"/>
    <w:rsid w:val="00F25FE7"/>
    <w:rsid w:val="00F515D3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9B5F91"/>
  <w15:docId w15:val="{39BDCA8C-7853-2645-8BCA-6002548C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A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48D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848D6"/>
  </w:style>
  <w:style w:type="paragraph" w:styleId="Pieddepage">
    <w:name w:val="footer"/>
    <w:basedOn w:val="Normal"/>
    <w:link w:val="PieddepageCar"/>
    <w:uiPriority w:val="99"/>
    <w:unhideWhenUsed/>
    <w:rsid w:val="008848D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48D6"/>
  </w:style>
  <w:style w:type="table" w:styleId="Grilledutableau">
    <w:name w:val="Table Grid"/>
    <w:basedOn w:val="TableauNormal"/>
    <w:uiPriority w:val="39"/>
    <w:rsid w:val="00DC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7B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652B"/>
    <w:rPr>
      <w:color w:val="0563C1" w:themeColor="hyperlink"/>
      <w:u w:val="single"/>
    </w:rPr>
  </w:style>
  <w:style w:type="character" w:customStyle="1" w:styleId="Menzionenonrisolta1">
    <w:name w:val="Menzione non risolta1"/>
    <w:basedOn w:val="Policepardfaut"/>
    <w:uiPriority w:val="99"/>
    <w:semiHidden/>
    <w:unhideWhenUsed/>
    <w:rsid w:val="0083652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61F7B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029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0294F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D63884"/>
  </w:style>
  <w:style w:type="character" w:customStyle="1" w:styleId="UnresolvedMention">
    <w:name w:val="Unresolved Mention"/>
    <w:basedOn w:val="Policepardfaut"/>
    <w:uiPriority w:val="99"/>
    <w:semiHidden/>
    <w:unhideWhenUsed/>
    <w:rsid w:val="0049163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E58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58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58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58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58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vilam.com/project/stage-a-la-carte/" TargetMode="External"/><Relationship Id="rId13" Type="http://schemas.openxmlformats.org/officeDocument/2006/relationships/hyperlink" Target="mailto:s.djelveh@proforal.b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vilam.com/wp-content/uploads/2021/12/CAVILAM-AF-CALENDRIER-TARIFS-2022-FR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vilam.com/project/numerique-en-classe-de-franca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djelveh@proforal.be" TargetMode="External"/><Relationship Id="rId10" Type="http://schemas.openxmlformats.org/officeDocument/2006/relationships/hyperlink" Target="https://www.cavilam.com/project/outils-numeriques-pratiques-faciliter-vie-professeu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vilam.com/project/stage-a-la-carte/" TargetMode="External"/><Relationship Id="rId14" Type="http://schemas.openxmlformats.org/officeDocument/2006/relationships/hyperlink" Target="mailto:info@bruxellesfle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84DA-1967-4CF6-AA97-56BE8F16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1468</Words>
  <Characters>8078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</cp:lastModifiedBy>
  <cp:revision>3</cp:revision>
  <dcterms:created xsi:type="dcterms:W3CDTF">2022-05-24T08:43:00Z</dcterms:created>
  <dcterms:modified xsi:type="dcterms:W3CDTF">2022-05-24T08:51:00Z</dcterms:modified>
</cp:coreProperties>
</file>